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Pr="006F3348" w:rsidRDefault="00F9378B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BC2654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Pr="00BC2654">
        <w:rPr>
          <w:rFonts w:ascii="Times New Roman" w:hAnsi="Times New Roman" w:cs="Times New Roman"/>
          <w:sz w:val="28"/>
          <w:szCs w:val="28"/>
        </w:rPr>
        <w:t>«</w:t>
      </w:r>
      <w:r w:rsidR="00BC2654" w:rsidRPr="00BC2654">
        <w:rPr>
          <w:rFonts w:ascii="Times New Roman" w:hAnsi="Times New Roman" w:cs="Times New Roman"/>
          <w:sz w:val="28"/>
          <w:szCs w:val="28"/>
        </w:rPr>
        <w:t xml:space="preserve"> 18 </w:t>
      </w:r>
      <w:r w:rsidR="00BC2654">
        <w:rPr>
          <w:rFonts w:ascii="Times New Roman" w:hAnsi="Times New Roman" w:cs="Times New Roman"/>
          <w:sz w:val="28"/>
          <w:szCs w:val="28"/>
        </w:rPr>
        <w:t>»   июля</w:t>
      </w:r>
      <w:r w:rsidRPr="00BC2654">
        <w:rPr>
          <w:rFonts w:ascii="Times New Roman" w:hAnsi="Times New Roman" w:cs="Times New Roman"/>
          <w:sz w:val="28"/>
          <w:szCs w:val="28"/>
        </w:rPr>
        <w:t xml:space="preserve"> 2022 г.                                     </w:t>
      </w:r>
      <w:r w:rsidR="00BC2654">
        <w:rPr>
          <w:rFonts w:ascii="Times New Roman" w:hAnsi="Times New Roman" w:cs="Times New Roman"/>
          <w:sz w:val="28"/>
          <w:szCs w:val="28"/>
        </w:rPr>
        <w:t xml:space="preserve">                         № 24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BC2654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BC2654">
        <w:rPr>
          <w:rFonts w:ascii="Times New Roman" w:hAnsi="Times New Roman" w:cs="Times New Roman"/>
          <w:b/>
          <w:sz w:val="28"/>
          <w:szCs w:val="28"/>
        </w:rPr>
        <w:t>Красносельское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BC2654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Красносельское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BC265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C2654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BC2654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C2654">
        <w:rPr>
          <w:rFonts w:ascii="Times New Roman" w:hAnsi="Times New Roman" w:cs="Times New Roman"/>
          <w:sz w:val="28"/>
          <w:szCs w:val="28"/>
        </w:rPr>
        <w:t>Красносельское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BC265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C2654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согласно Приложению №1 к настоящему решению.</w:t>
      </w:r>
    </w:p>
    <w:p w:rsidR="00B314D8" w:rsidRDefault="00B314D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A61980"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 w:rsidR="00BC2654">
        <w:rPr>
          <w:rFonts w:ascii="Times New Roman" w:hAnsi="Times New Roman" w:cs="Times New Roman"/>
          <w:sz w:val="28"/>
          <w:szCs w:val="28"/>
        </w:rPr>
        <w:t>сельского</w:t>
      </w:r>
      <w:r w:rsidR="00A61980">
        <w:rPr>
          <w:rFonts w:ascii="Times New Roman" w:hAnsi="Times New Roman" w:cs="Times New Roman"/>
          <w:sz w:val="28"/>
          <w:szCs w:val="28"/>
        </w:rPr>
        <w:t xml:space="preserve">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C2654">
        <w:rPr>
          <w:rFonts w:ascii="Times New Roman" w:hAnsi="Times New Roman" w:cs="Times New Roman"/>
          <w:sz w:val="28"/>
          <w:szCs w:val="28"/>
        </w:rPr>
        <w:t>Красносельское</w:t>
      </w:r>
      <w:r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№</w:t>
      </w:r>
      <w:r w:rsidR="00CE1B61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E1B61">
        <w:rPr>
          <w:rFonts w:ascii="Times New Roman" w:eastAsia="Times New Roman" w:hAnsi="Times New Roman" w:cs="Times New Roman"/>
          <w:sz w:val="28"/>
          <w:szCs w:val="28"/>
        </w:rPr>
        <w:t>25.10.2017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proofErr w:type="spellStart"/>
      <w:r w:rsidR="00CE1B61">
        <w:rPr>
          <w:rFonts w:ascii="Times New Roman" w:eastAsia="Times New Roman" w:hAnsi="Times New Roman" w:cs="Times New Roman"/>
          <w:sz w:val="28"/>
          <w:szCs w:val="28"/>
        </w:rPr>
        <w:t>сельсого</w:t>
      </w:r>
      <w:proofErr w:type="spellEnd"/>
      <w:r w:rsidR="00CE1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CE1B61">
        <w:rPr>
          <w:rFonts w:ascii="Times New Roman" w:eastAsia="Times New Roman" w:hAnsi="Times New Roman" w:cs="Times New Roman"/>
          <w:sz w:val="28"/>
          <w:szCs w:val="28"/>
        </w:rPr>
        <w:t>Красносельское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980">
        <w:rPr>
          <w:rFonts w:ascii="Times New Roman" w:hAnsi="Times New Roman" w:cs="Times New Roman"/>
          <w:sz w:val="28"/>
          <w:szCs w:val="28"/>
        </w:rPr>
        <w:t>с изменениями и дополнениями.</w:t>
      </w:r>
    </w:p>
    <w:p w:rsidR="00A61980" w:rsidRDefault="00A61980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A61980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E1B61" w:rsidRPr="006F3348" w:rsidRDefault="00CE1B61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CE1B61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A6198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1B61">
        <w:rPr>
          <w:rFonts w:ascii="Times New Roman" w:hAnsi="Times New Roman" w:cs="Times New Roman"/>
          <w:sz w:val="28"/>
          <w:szCs w:val="28"/>
        </w:rPr>
        <w:t xml:space="preserve">       Л.В.Мельник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E1B61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E1B61">
        <w:rPr>
          <w:rFonts w:ascii="Times New Roman" w:hAnsi="Times New Roman" w:cs="Times New Roman"/>
          <w:sz w:val="28"/>
          <w:szCs w:val="28"/>
        </w:rPr>
        <w:t>Красносельское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78B" w:rsidRPr="001B7A11" w:rsidRDefault="006F3348" w:rsidP="00A6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</w:t>
      </w:r>
      <w:bookmarkStart w:id="0" w:name="_GoBack"/>
      <w:bookmarkEnd w:id="0"/>
      <w:r w:rsidR="00CE1B61">
        <w:rPr>
          <w:rFonts w:ascii="Times New Roman" w:hAnsi="Times New Roman" w:cs="Times New Roman"/>
          <w:sz w:val="28"/>
          <w:szCs w:val="28"/>
        </w:rPr>
        <w:t>Н.В.Вершков</w:t>
      </w:r>
    </w:p>
    <w:p w:rsidR="00F9378B" w:rsidRPr="001B7A11" w:rsidRDefault="00F9378B" w:rsidP="00F9378B">
      <w:pPr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CE1B61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Красносельское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CE1B61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24 от «18 » июля </w:t>
      </w:r>
      <w:r w:rsidR="00A61980"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CE1B61">
        <w:rPr>
          <w:rFonts w:ascii="Times New Roman" w:hAnsi="Times New Roman" w:cs="Times New Roman"/>
          <w:sz w:val="28"/>
          <w:szCs w:val="28"/>
        </w:rPr>
        <w:t>сельского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CE1B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поселения Красносельское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Сергиевский Самарской области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>Пра</w:t>
      </w:r>
      <w:r w:rsidR="00CE1B61">
        <w:rPr>
          <w:rFonts w:ascii="Times New Roman" w:eastAsia="Times New Roman" w:hAnsi="Times New Roman" w:cs="Times New Roman"/>
          <w:sz w:val="28"/>
          <w:szCs w:val="28"/>
        </w:rPr>
        <w:t xml:space="preserve">вила благоустройства территории сельского поселения Красносельское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СНиПами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A144B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A144BF">
        <w:rPr>
          <w:rFonts w:ascii="Times New Roman" w:eastAsia="Times New Roman" w:hAnsi="Times New Roman" w:cs="Times New Roman"/>
          <w:sz w:val="28"/>
          <w:szCs w:val="28"/>
        </w:rPr>
        <w:t>Красносельское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>Правила устанавливают единые и обязательные требования к созданию и содержанию объектов благоустройства, на</w:t>
      </w:r>
      <w:r w:rsidR="00A144BF">
        <w:rPr>
          <w:rFonts w:ascii="Times New Roman" w:eastAsia="Times New Roman" w:hAnsi="Times New Roman" w:cs="Times New Roman"/>
          <w:sz w:val="28"/>
          <w:szCs w:val="28"/>
        </w:rPr>
        <w:t>длежащему содержанию территории сельского</w:t>
      </w:r>
      <w:r w:rsidR="00A144BF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4B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A144BF" w:rsidRPr="00A14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4BF">
        <w:rPr>
          <w:rFonts w:ascii="Times New Roman" w:eastAsia="Times New Roman" w:hAnsi="Times New Roman" w:cs="Times New Roman"/>
          <w:sz w:val="28"/>
          <w:szCs w:val="28"/>
        </w:rPr>
        <w:t>Красносельское</w:t>
      </w:r>
      <w:r w:rsidR="00A144BF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lastRenderedPageBreak/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вещество или смесь веществ и микроорганизмов, которые в количестве и (или) концентрациях, превышающих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>ках благо</w:t>
      </w:r>
      <w:r w:rsidR="00A144BF">
        <w:rPr>
          <w:rFonts w:ascii="Times New Roman" w:hAnsi="Times New Roman" w:cs="Times New Roman"/>
          <w:sz w:val="28"/>
          <w:szCs w:val="28"/>
        </w:rPr>
        <w:t xml:space="preserve">устройства территории </w:t>
      </w:r>
      <w:r w:rsidR="00A144BF">
        <w:rPr>
          <w:rFonts w:ascii="Times New Roman" w:hAnsi="Times New Roman" w:cs="Times New Roman"/>
          <w:sz w:val="28"/>
          <w:szCs w:val="28"/>
        </w:rPr>
        <w:softHyphen/>
      </w:r>
      <w:r w:rsidR="00A144BF">
        <w:rPr>
          <w:rFonts w:ascii="Times New Roman" w:hAnsi="Times New Roman" w:cs="Times New Roman"/>
          <w:sz w:val="28"/>
          <w:szCs w:val="28"/>
        </w:rPr>
        <w:softHyphen/>
      </w:r>
      <w:r w:rsidR="00A144BF">
        <w:rPr>
          <w:rFonts w:ascii="Times New Roman" w:hAnsi="Times New Roman" w:cs="Times New Roman"/>
          <w:sz w:val="28"/>
          <w:szCs w:val="28"/>
        </w:rPr>
        <w:softHyphen/>
        <w:t>сельского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A144BF">
        <w:rPr>
          <w:rFonts w:ascii="Times New Roman" w:hAnsi="Times New Roman" w:cs="Times New Roman"/>
          <w:sz w:val="28"/>
          <w:szCs w:val="28"/>
        </w:rPr>
        <w:t>ия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4BF">
        <w:rPr>
          <w:rFonts w:ascii="Times New Roman" w:hAnsi="Times New Roman" w:cs="Times New Roman"/>
          <w:sz w:val="28"/>
          <w:szCs w:val="28"/>
        </w:rPr>
        <w:t>Красносельское</w:t>
      </w:r>
      <w:r w:rsidR="00A144B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A144B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</w:t>
      </w:r>
      <w:proofErr w:type="spellStart"/>
      <w:r w:rsidR="00CC6261" w:rsidRPr="0097667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CC6261" w:rsidRPr="0097667B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="00384D73" w:rsidRPr="0097667B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6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</w:t>
      </w:r>
      <w:r w:rsidR="00F33AC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</w:t>
      </w:r>
      <w:proofErr w:type="spellStart"/>
      <w:r w:rsidR="008501A5" w:rsidRPr="0097667B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="008501A5" w:rsidRPr="0097667B">
        <w:rPr>
          <w:rFonts w:ascii="Times New Roman" w:hAnsi="Times New Roman" w:cs="Times New Roman"/>
          <w:sz w:val="28"/>
          <w:szCs w:val="28"/>
        </w:rPr>
        <w:t xml:space="preserve">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lastRenderedPageBreak/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7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 xml:space="preserve">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</w:t>
      </w:r>
      <w:proofErr w:type="spellStart"/>
      <w:r w:rsidR="00BE5568" w:rsidRPr="0097667B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баннерной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7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3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6"/>
      <w:bookmarkEnd w:id="7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порядок приёма карт-схем, их систематизации (в том числе в электронном виде, с созданием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9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0C0DE1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0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1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для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групп населения.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характеристик городской среды в населенном пункте, обеспечение 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3E6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A91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1870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проведения земляных работ, осуществляемых на землях из категории земель населенных пунктов и землях иных категорий (за 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.11.5.  При производстве земляных работ необходимо: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.11.6. При производстве земляных работ не рекомендуется: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.11.7.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340D20" w:rsidRPr="00A144BF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A144BF" w:rsidRPr="00A144BF">
        <w:rPr>
          <w:rFonts w:ascii="Times New Roman" w:eastAsia="Times New Roman" w:hAnsi="Times New Roman" w:cs="Times New Roman"/>
          <w:sz w:val="24"/>
          <w:szCs w:val="24"/>
        </w:rPr>
        <w:t>Красносельское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A144BF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A144B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A144B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A144B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A144B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  <w:t>сельского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A144B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A144BF" w:rsidRPr="00A144BF">
        <w:rPr>
          <w:rFonts w:ascii="Times New Roman" w:eastAsia="Times New Roman" w:hAnsi="Times New Roman" w:cs="Times New Roman"/>
          <w:sz w:val="24"/>
          <w:szCs w:val="24"/>
        </w:rPr>
        <w:t>Красносельское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A144BF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A144BF">
        <w:rPr>
          <w:rFonts w:ascii="Times New Roman" w:eastAsia="Times New Roman" w:hAnsi="Times New Roman" w:cs="Times New Roman"/>
          <w:sz w:val="28"/>
          <w:szCs w:val="28"/>
        </w:rPr>
        <w:t>Красносельское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A144BF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A144BF">
        <w:rPr>
          <w:rFonts w:ascii="Times New Roman" w:eastAsia="Times New Roman" w:hAnsi="Times New Roman" w:cs="Times New Roman"/>
          <w:sz w:val="28"/>
          <w:szCs w:val="28"/>
        </w:rPr>
        <w:t>Красносельское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r w:rsidR="00A144BF">
        <w:rPr>
          <w:rFonts w:ascii="Times New Roman" w:hAnsi="Times New Roman" w:cs="Times New Roman"/>
          <w:spacing w:val="2"/>
          <w:sz w:val="28"/>
          <w:szCs w:val="28"/>
        </w:rPr>
        <w:t>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A144BF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A144BF">
        <w:rPr>
          <w:rFonts w:ascii="Times New Roman" w:eastAsia="Times New Roman" w:hAnsi="Times New Roman" w:cs="Times New Roman"/>
          <w:sz w:val="28"/>
          <w:szCs w:val="28"/>
        </w:rPr>
        <w:t>Красносельское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>ми  бла</w:t>
      </w:r>
      <w:r w:rsidR="00A144BF">
        <w:rPr>
          <w:rFonts w:ascii="Times New Roman" w:hAnsi="Times New Roman" w:cs="Times New Roman"/>
          <w:sz w:val="28"/>
          <w:szCs w:val="28"/>
        </w:rPr>
        <w:t>гоустройства территории сельского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144BF">
        <w:rPr>
          <w:rFonts w:ascii="Times New Roman" w:eastAsia="Times New Roman" w:hAnsi="Times New Roman" w:cs="Times New Roman"/>
          <w:sz w:val="28"/>
          <w:szCs w:val="28"/>
        </w:rPr>
        <w:t>Красносельское</w:t>
      </w:r>
      <w:r w:rsidRPr="0010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5EB2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144BF"/>
    <w:rsid w:val="00A266F3"/>
    <w:rsid w:val="00A61980"/>
    <w:rsid w:val="00A87CA7"/>
    <w:rsid w:val="00A91DF5"/>
    <w:rsid w:val="00A94E66"/>
    <w:rsid w:val="00AB3A06"/>
    <w:rsid w:val="00AC326D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C2654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E1B61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93BDF7162EF5796527A839461232C3EBA6CB8CD423F6B2B18C9DE3940b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5A5AEF04144818FB4EA31B5AA4A28A58FF3CDB7D6BB25D9E0B7681936E7C292BAB34B5C85921683604CBDC43b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C3560199C646AE8F2E077D49FAF1A673DDD8B67C607283266C82B5F5DB65AB9083C9FA98DC63987C312gCq5M" TargetMode="External"/><Relationship Id="rId11" Type="http://schemas.openxmlformats.org/officeDocument/2006/relationships/hyperlink" Target="consultantplus://offline/ref=297EAE378EAF180DE47E207591A69D500954A7996A3CAB8D1786B2407E518FD7A1AD2AA5EE740E891518ACA6L1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2EE258ADE081F4A7CA993D1C95A9DB264B4EDBCE6A96DE502B576B4U9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8218-77C1-4B2D-9030-A5912E1D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1</Pages>
  <Words>19561</Words>
  <Characters>111498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user10045</cp:lastModifiedBy>
  <cp:revision>54</cp:revision>
  <dcterms:created xsi:type="dcterms:W3CDTF">2022-03-04T10:34:00Z</dcterms:created>
  <dcterms:modified xsi:type="dcterms:W3CDTF">2022-07-19T09:46:00Z</dcterms:modified>
</cp:coreProperties>
</file>