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8D1BA6" w:rsidRPr="008D1BA6">
        <w:rPr>
          <w:rFonts w:ascii="Times New Roman" w:hAnsi="Times New Roman" w:cs="Times New Roman"/>
          <w:sz w:val="28"/>
          <w:szCs w:val="28"/>
        </w:rPr>
        <w:t>18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</w:t>
      </w:r>
      <w:r w:rsidR="008D1BA6">
        <w:rPr>
          <w:rFonts w:ascii="Times New Roman" w:hAnsi="Times New Roman" w:cs="Times New Roman"/>
          <w:sz w:val="28"/>
          <w:szCs w:val="28"/>
        </w:rPr>
        <w:t>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BA6">
        <w:rPr>
          <w:rFonts w:ascii="Times New Roman" w:hAnsi="Times New Roman" w:cs="Times New Roman"/>
          <w:sz w:val="28"/>
          <w:szCs w:val="28"/>
        </w:rPr>
        <w:t xml:space="preserve">                                            № 25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8D1BA6" w:rsidRDefault="006F3348" w:rsidP="008D1B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8D1BA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D1BA6">
        <w:rPr>
          <w:rFonts w:ascii="Times New Roman" w:hAnsi="Times New Roman" w:cs="Times New Roman"/>
          <w:b/>
          <w:sz w:val="28"/>
          <w:szCs w:val="28"/>
        </w:rPr>
        <w:t>Воротнее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6F3348" w:rsidRPr="006F3348" w:rsidRDefault="006F3348" w:rsidP="008D1B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8D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8D1BA6" w:rsidP="008D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Воротнее</w:t>
      </w:r>
    </w:p>
    <w:p w:rsidR="006F3348" w:rsidRPr="006F3348" w:rsidRDefault="006F3348" w:rsidP="008D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8D1B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8D1BA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BA6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8D1BA6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8D1BA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8D1B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8D1BA6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8D1B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8D1BA6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E2495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24955">
        <w:rPr>
          <w:rFonts w:ascii="Times New Roman" w:eastAsia="Times New Roman" w:hAnsi="Times New Roman" w:cs="Times New Roman"/>
          <w:sz w:val="28"/>
          <w:szCs w:val="28"/>
        </w:rPr>
        <w:t xml:space="preserve">17.06.2022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E24955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8D1B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8D1BA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4955" w:rsidRDefault="00E24955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955" w:rsidRPr="006F3348" w:rsidRDefault="00E24955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8D1BA6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24955" w:rsidRDefault="00E24955" w:rsidP="008D1BA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</w:p>
    <w:p w:rsidR="006F3348" w:rsidRPr="006F3348" w:rsidRDefault="006F3348" w:rsidP="008D1BA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E249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24955">
        <w:rPr>
          <w:rFonts w:ascii="Times New Roman" w:hAnsi="Times New Roman" w:cs="Times New Roman"/>
          <w:sz w:val="28"/>
          <w:szCs w:val="28"/>
        </w:rPr>
        <w:t>Т.А.Мамыкина</w:t>
      </w:r>
      <w:proofErr w:type="spellEnd"/>
    </w:p>
    <w:p w:rsidR="006F3348" w:rsidRPr="006F3348" w:rsidRDefault="006F3348" w:rsidP="008D1BA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8D1B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955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F9378B" w:rsidRPr="001B7A11" w:rsidRDefault="006F3348" w:rsidP="008D1B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bookmarkStart w:id="0" w:name="_GoBack"/>
      <w:bookmarkEnd w:id="0"/>
      <w:r w:rsidR="00E24955">
        <w:rPr>
          <w:rFonts w:ascii="Times New Roman" w:hAnsi="Times New Roman" w:cs="Times New Roman"/>
          <w:sz w:val="28"/>
          <w:szCs w:val="28"/>
        </w:rPr>
        <w:t>И.Б.Кузнецова</w:t>
      </w:r>
    </w:p>
    <w:p w:rsidR="00F9378B" w:rsidRPr="001B7A11" w:rsidRDefault="00F9378B" w:rsidP="008D1BA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E2495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Воротнее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E2495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18.07.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E24955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E24955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E2495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E24955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E24955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E24955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E24955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E24955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E2495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E2495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E2495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E249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E2495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E249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>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сооружениями и (или) их комплексами. 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6.8.3. При реконструкции детских площадок во избежание травматизма необходимо предотвращать наличие на территории площадки выступающих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E249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E249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</w:t>
      </w:r>
      <w:r w:rsidR="00BE5568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размещение сезонных (летних) кафе: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E249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E249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E249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благоустройства участков жилой застройки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E24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E249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E249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E249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E2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E24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E24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E24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E2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Промышленные организации обязаны создавать защитные зеленые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к ним территорий – на договорной основе) производится организациями,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E249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E249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E249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249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249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E24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E249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249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E2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осуществляется на специально отведенных администрацией поселения </w:t>
      </w:r>
      <w:r w:rsidR="00F41F9D" w:rsidRPr="0097667B">
        <w:rPr>
          <w:rFonts w:ascii="Times New Roman" w:hAnsi="Times New Roman" w:cs="Times New Roman"/>
          <w:sz w:val="28"/>
          <w:szCs w:val="28"/>
        </w:rPr>
        <w:lastRenderedPageBreak/>
        <w:t>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E2495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места для компостирования, вывозить на свалку или использовать при устройстве дренажа);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E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E24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E249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E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E2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E249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проведения земляных работ, осуществляемых на землях из категории земель населенных пунктов и землях иных категорий (за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E2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E24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E249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E249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E24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E24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E24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E2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E2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27B2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127B21">
        <w:rPr>
          <w:rFonts w:ascii="Times New Roman" w:hAnsi="Times New Roman" w:cs="Times New Roman"/>
          <w:sz w:val="24"/>
          <w:szCs w:val="24"/>
        </w:rPr>
        <w:t>Воротнее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>Воротнее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действующей(его) на основании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127B21">
        <w:rPr>
          <w:rFonts w:ascii="Times New Roman" w:hAnsi="Times New Roman" w:cs="Times New Roman"/>
          <w:sz w:val="28"/>
          <w:szCs w:val="28"/>
        </w:rPr>
        <w:t>сельского</w:t>
      </w:r>
      <w:r w:rsidR="00127B21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B21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27B21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D1BA6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62D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24955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8895-4419-4271-BDE9-DC5A17D9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51</Pages>
  <Words>19542</Words>
  <Characters>111393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53</cp:revision>
  <dcterms:created xsi:type="dcterms:W3CDTF">2022-03-04T10:34:00Z</dcterms:created>
  <dcterms:modified xsi:type="dcterms:W3CDTF">2022-07-19T11:06:00Z</dcterms:modified>
</cp:coreProperties>
</file>