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63" w:rsidRDefault="004A6463" w:rsidP="006F33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5B0E0F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Елшанка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6A17F6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от </w:t>
      </w:r>
      <w:r w:rsidR="005B0E0F">
        <w:rPr>
          <w:rFonts w:ascii="Times New Roman" w:hAnsi="Times New Roman" w:cs="Times New Roman"/>
          <w:sz w:val="24"/>
          <w:szCs w:val="24"/>
        </w:rPr>
        <w:t xml:space="preserve">«18» июля 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A0414B" w:rsidRDefault="00C174C3" w:rsidP="00A04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C2BCB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AC2B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 Елшанка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  <w:r w:rsidR="00A041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0414B">
        <w:rPr>
          <w:rFonts w:ascii="Times New Roman" w:hAnsi="Times New Roman" w:cs="Times New Roman"/>
          <w:sz w:val="28"/>
          <w:szCs w:val="28"/>
        </w:rPr>
        <w:t>(В редакции решения собрания представителей сельского поселения Елшанка муниципального района Сергиевский Самарской области  от 25.10.2023 г. №20)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A0414B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3E059B">
        <w:rPr>
          <w:rFonts w:ascii="Times New Roman" w:eastAsia="Times New Roman" w:hAnsi="Times New Roman" w:cs="Times New Roman"/>
          <w:sz w:val="28"/>
          <w:szCs w:val="28"/>
        </w:rPr>
        <w:t xml:space="preserve">вила благоустройства территории сельского поселения Елшанка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681F3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F3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 Елшанка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681F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Елшанка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681F3B" w:rsidRDefault="00681F3B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81F3B" w:rsidRDefault="00681F3B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81F3B" w:rsidRDefault="00681F3B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>ках благо</w:t>
      </w:r>
      <w:r w:rsidR="00D45D80">
        <w:rPr>
          <w:rFonts w:ascii="Times New Roman" w:hAnsi="Times New Roman" w:cs="Times New Roman"/>
          <w:sz w:val="28"/>
          <w:szCs w:val="28"/>
        </w:rPr>
        <w:t xml:space="preserve">устройства территории сельского 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5D80">
        <w:rPr>
          <w:rFonts w:ascii="Times New Roman" w:hAnsi="Times New Roman" w:cs="Times New Roman"/>
          <w:color w:val="000000"/>
          <w:sz w:val="28"/>
          <w:szCs w:val="28"/>
        </w:rPr>
        <w:t xml:space="preserve">Елшанка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BB07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A0414B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52E2" w:rsidRDefault="003052E2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 xml:space="preserve"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Возможно ограждение участка жилой застройки, если оно не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</w:t>
      </w:r>
      <w:r w:rsidR="00B86F5E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определяются по соглашению уполномоченного органа с уполномоченным лицом о благоустройстве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</w:t>
      </w:r>
      <w:r w:rsidR="00156159"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Собственникам помещений необходимо обеспечивать подъезды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обеспечивать безопасность для здоровья человека выполняемых работ и оказываемых услуг, а также продукции производственно-технического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Организация содержания иных элементов благоустройства осуществляется администрацией поселения по соглашениям со специализированными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06AD" w:rsidRDefault="00A906AD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A0414B" w:rsidRDefault="00A0414B" w:rsidP="00A0414B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без получения соответствующего разрешения, </w:t>
      </w:r>
      <w:r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A0414B" w:rsidRDefault="00A0414B" w:rsidP="00A041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осуществления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благоустройства, в случаях:</w:t>
      </w:r>
    </w:p>
    <w:p w:rsidR="00A0414B" w:rsidRDefault="00A0414B" w:rsidP="00A041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объектов, не являющихся объектами капитального строительства;</w:t>
      </w:r>
    </w:p>
    <w:p w:rsidR="00A0414B" w:rsidRDefault="00A0414B" w:rsidP="00A041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A0414B" w:rsidRDefault="00A0414B" w:rsidP="00A0414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в так же в случаях:</w:t>
      </w:r>
      <w:proofErr w:type="gramEnd"/>
    </w:p>
    <w:p w:rsidR="00A0414B" w:rsidRDefault="00A0414B" w:rsidP="00A0414B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A0414B" w:rsidRDefault="00A0414B" w:rsidP="00A0414B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территорий);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4B" w:rsidRDefault="00A0414B" w:rsidP="00A0414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восстановления нормативного светового режима в жилых и нежилых помещениях, затеняемых деревьями;</w:t>
      </w:r>
    </w:p>
    <w:p w:rsidR="00A0414B" w:rsidRDefault="00A0414B" w:rsidP="00A0414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проведения работ по ремонту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зонах.</w:t>
      </w:r>
    </w:p>
    <w:p w:rsidR="00A0414B" w:rsidRDefault="00A0414B" w:rsidP="00A041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инженерно-технического обеспечения и сооружений, а также в случаях:</w:t>
      </w:r>
    </w:p>
    <w:p w:rsidR="00A0414B" w:rsidRDefault="00A0414B" w:rsidP="00A041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A0414B" w:rsidRDefault="00A0414B" w:rsidP="00A041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A0414B" w:rsidRDefault="00A0414B" w:rsidP="00A041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3F0E46" w:rsidRDefault="00A0414B" w:rsidP="00A041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8617CA" w:rsidRDefault="008617CA" w:rsidP="008617CA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8617CA" w:rsidRDefault="008617CA" w:rsidP="008617CA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заявления.</w:t>
      </w:r>
    </w:p>
    <w:p w:rsidR="008617CA" w:rsidRDefault="008617CA" w:rsidP="008617CA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Разрешения Заявитель к заявлению прилагает следующие документы:</w:t>
      </w:r>
    </w:p>
    <w:p w:rsidR="008617CA" w:rsidRDefault="008617CA" w:rsidP="008617C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8617CA" w:rsidRDefault="008617CA" w:rsidP="008617C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документ, подтверждающий полномочия представителя заявителя действовать от имени Заявителя;</w:t>
      </w:r>
    </w:p>
    <w:p w:rsidR="008617CA" w:rsidRDefault="008617CA" w:rsidP="008617CA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8617CA" w:rsidRDefault="008617CA" w:rsidP="008617CA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8617CA" w:rsidRDefault="008617CA" w:rsidP="008617CA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8617CA" w:rsidRDefault="008617CA" w:rsidP="008617CA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8617CA" w:rsidRDefault="008617CA" w:rsidP="008617CA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8617CA" w:rsidRDefault="008617CA" w:rsidP="008617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17.10.18. Если в случае проведения работ, указанных в подпункте 17.10.15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сохранению и развитию зеленого фонда, обязано обратиться в уполномоченный орган местного самоуправления для оплаты компенсационной стоимости в порядке, </w:t>
      </w:r>
      <w:r>
        <w:rPr>
          <w:rFonts w:ascii="Times New Roman" w:hAnsi="Times New Roman" w:cs="Times New Roman"/>
          <w:sz w:val="28"/>
          <w:szCs w:val="28"/>
        </w:rPr>
        <w:t>устанавливаемом отдельным муниципальным правовым актом, регулирующим соответствующий порядок.</w:t>
      </w:r>
    </w:p>
    <w:p w:rsidR="008617CA" w:rsidRPr="0097667B" w:rsidRDefault="008617CA" w:rsidP="008617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 (далее - земляные работы).</w:t>
      </w:r>
    </w:p>
    <w:p w:rsidR="008617CA" w:rsidRDefault="008617CA" w:rsidP="008617CA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осуществление земляных работ (далее - разрешение на осуществление земляных работ)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исключением случаев,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законодательством.</w:t>
      </w:r>
    </w:p>
    <w:p w:rsidR="008617CA" w:rsidRDefault="008617CA" w:rsidP="008617CA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17.11.3. Не требуется получения разрешения на осуществление земляных работ в случаях:</w:t>
      </w:r>
    </w:p>
    <w:p w:rsidR="008617CA" w:rsidRDefault="008617CA" w:rsidP="008617CA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17.11.4. Положения настоящей статьи не применяются при осуществлении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8617CA" w:rsidRDefault="008617CA" w:rsidP="008617C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617CA" w:rsidRDefault="008617CA" w:rsidP="008617C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Заявителя (представителя); </w:t>
      </w:r>
    </w:p>
    <w:p w:rsidR="008617CA" w:rsidRDefault="008617CA" w:rsidP="008617C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представителя);</w:t>
      </w:r>
    </w:p>
    <w:p w:rsidR="008617CA" w:rsidRDefault="008617CA" w:rsidP="008617C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план земельного участка (схема) места проведения земляных работ с указанием адресного ориентира.</w:t>
      </w:r>
    </w:p>
    <w:p w:rsidR="008617CA" w:rsidRDefault="008617CA" w:rsidP="008617CA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В случае не завершения работ в течение срока, установленного разрешением на осуществление земляных работ, заявитель подает в Уполномоченный орган заявление о продлении разрешения на осуществление земляных работ.  </w:t>
      </w:r>
    </w:p>
    <w:p w:rsidR="008617CA" w:rsidRDefault="008617CA" w:rsidP="008617CA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8617CA" w:rsidRDefault="008617CA" w:rsidP="008617CA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разрешения. 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17.11.8. 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17.11.9. Если в случае проведения работ, указанных в подпункте 17.11.3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Строительных </w:t>
      </w:r>
      <w:hyperlink r:id="rId1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нормах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Федерации.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самоуправления.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17.11.12.  При производстве земляных работ необходимо: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17.11.13. При производстве земляных работ не допускается: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территории, к зданиям и входам к ним.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617CA" w:rsidRDefault="008617CA" w:rsidP="008617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617CA" w:rsidRDefault="008617CA" w:rsidP="008617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17.11.14.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поселения, где производились земляные работы, в соответствии с документами, регламентирующими производство земляных работ.</w:t>
      </w:r>
    </w:p>
    <w:p w:rsidR="008617CA" w:rsidRDefault="008617CA" w:rsidP="008617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8617CA" w:rsidRDefault="008617CA" w:rsidP="008617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617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3E624B">
        <w:rPr>
          <w:rFonts w:ascii="Times New Roman" w:hAnsi="Times New Roman" w:cs="Times New Roman"/>
          <w:sz w:val="24"/>
          <w:szCs w:val="24"/>
        </w:rPr>
        <w:t>Елшанка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F2361C">
      <w:pPr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9029A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9029A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9029A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9029A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9029A6">
        <w:rPr>
          <w:rFonts w:ascii="Times New Roman" w:hAnsi="Times New Roman" w:cs="Times New Roman"/>
          <w:sz w:val="24"/>
          <w:szCs w:val="24"/>
        </w:rPr>
        <w:t>Елшанка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lastRenderedPageBreak/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153728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153728">
        <w:rPr>
          <w:rFonts w:ascii="Times New Roman" w:hAnsi="Times New Roman" w:cs="Times New Roman"/>
          <w:spacing w:val="2"/>
          <w:sz w:val="28"/>
          <w:szCs w:val="28"/>
        </w:rPr>
        <w:t>Елшанка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153728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153728">
        <w:rPr>
          <w:rFonts w:ascii="Times New Roman" w:hAnsi="Times New Roman" w:cs="Times New Roman"/>
          <w:spacing w:val="2"/>
          <w:sz w:val="28"/>
          <w:szCs w:val="28"/>
        </w:rPr>
        <w:t xml:space="preserve">Елшанка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 w:rsidR="00786FB1">
        <w:rPr>
          <w:rFonts w:ascii="Times New Roman" w:hAnsi="Times New Roman" w:cs="Times New Roman"/>
          <w:spacing w:val="2"/>
          <w:sz w:val="28"/>
          <w:szCs w:val="28"/>
        </w:rPr>
        <w:t>Прокаева Сергея Васильевича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, д</w:t>
      </w:r>
      <w:r w:rsidR="00786FB1">
        <w:rPr>
          <w:rFonts w:ascii="Times New Roman" w:hAnsi="Times New Roman" w:cs="Times New Roman"/>
          <w:spacing w:val="2"/>
          <w:sz w:val="28"/>
          <w:szCs w:val="28"/>
        </w:rPr>
        <w:t xml:space="preserve">ействующего на основании Устава сельского поселения Елшанка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</w:t>
      </w:r>
      <w:r w:rsidR="00786FB1">
        <w:rPr>
          <w:rFonts w:ascii="Times New Roman" w:hAnsi="Times New Roman" w:cs="Times New Roman"/>
          <w:sz w:val="28"/>
          <w:szCs w:val="28"/>
        </w:rPr>
        <w:t xml:space="preserve">гоустройства территории сельского </w:t>
      </w:r>
      <w:r w:rsidRPr="00102CA1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86FB1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</w:t>
      </w:r>
      <w:r w:rsidR="00FB428E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</w:t>
      </w:r>
      <w:r w:rsidR="00FB428E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  <w:proofErr w:type="gramEnd"/>
    </w:p>
    <w:p w:rsidR="00102CA1" w:rsidRPr="00102CA1" w:rsidRDefault="00102CA1" w:rsidP="00FB42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F24B04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«Уполномоченный </w:t>
      </w:r>
      <w:r w:rsidR="00102CA1" w:rsidRPr="00102CA1">
        <w:rPr>
          <w:rFonts w:ascii="Times New Roman" w:hAnsi="Times New Roman" w:cs="Times New Roman"/>
          <w:spacing w:val="2"/>
          <w:sz w:val="28"/>
          <w:szCs w:val="28"/>
        </w:rPr>
        <w:t>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3728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2D269A"/>
    <w:rsid w:val="003052E2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059B"/>
    <w:rsid w:val="003E1633"/>
    <w:rsid w:val="003E4B37"/>
    <w:rsid w:val="003E624B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A6463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0E0F"/>
    <w:rsid w:val="005B7436"/>
    <w:rsid w:val="005C71CC"/>
    <w:rsid w:val="005D665E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81F3B"/>
    <w:rsid w:val="006A17F6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86FB1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17CA"/>
    <w:rsid w:val="00862300"/>
    <w:rsid w:val="00872D20"/>
    <w:rsid w:val="00882E07"/>
    <w:rsid w:val="00890AC4"/>
    <w:rsid w:val="008C2A5C"/>
    <w:rsid w:val="008E5071"/>
    <w:rsid w:val="009029A6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0414B"/>
    <w:rsid w:val="00A11F2E"/>
    <w:rsid w:val="00A266F3"/>
    <w:rsid w:val="00A61980"/>
    <w:rsid w:val="00A87CA7"/>
    <w:rsid w:val="00A906AD"/>
    <w:rsid w:val="00A91DF5"/>
    <w:rsid w:val="00A94E66"/>
    <w:rsid w:val="00AB3A06"/>
    <w:rsid w:val="00AC2BCB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0702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45D80"/>
    <w:rsid w:val="00D50335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36674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361C"/>
    <w:rsid w:val="00F2489D"/>
    <w:rsid w:val="00F24B04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B428E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14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61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BC81-693D-4C6B-9993-B3690B55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52</Pages>
  <Words>20909</Words>
  <Characters>119182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2022-03-04T10:34:00Z</dcterms:created>
  <dcterms:modified xsi:type="dcterms:W3CDTF">2023-12-11T12:14:00Z</dcterms:modified>
</cp:coreProperties>
</file>