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8D0D3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Светлодольск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8D0D39">
        <w:rPr>
          <w:rFonts w:ascii="Times New Roman" w:hAnsi="Times New Roman" w:cs="Times New Roman"/>
          <w:sz w:val="24"/>
          <w:szCs w:val="24"/>
        </w:rPr>
        <w:t xml:space="preserve">26 </w:t>
      </w:r>
      <w:r w:rsidRPr="00A61980">
        <w:rPr>
          <w:rFonts w:ascii="Times New Roman" w:hAnsi="Times New Roman" w:cs="Times New Roman"/>
          <w:sz w:val="24"/>
          <w:szCs w:val="24"/>
        </w:rPr>
        <w:t>от «</w:t>
      </w:r>
      <w:r w:rsidR="008D0D39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8D0D3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Pr="00F420E2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C3" w:rsidRPr="00F420E2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E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E6BC9" w:rsidRPr="00F420E2" w:rsidRDefault="00C174C3" w:rsidP="00CE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0E2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8D0D39" w:rsidRPr="00F420E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42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поселения </w:t>
      </w:r>
      <w:r w:rsidR="00CE6BC9" w:rsidRPr="00F420E2">
        <w:rPr>
          <w:rFonts w:ascii="Times New Roman" w:hAnsi="Times New Roman" w:cs="Times New Roman"/>
          <w:b/>
          <w:sz w:val="28"/>
          <w:szCs w:val="28"/>
        </w:rPr>
        <w:t>Светлодольск</w:t>
      </w:r>
    </w:p>
    <w:p w:rsidR="00F420E2" w:rsidRDefault="00C174C3" w:rsidP="00F4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0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  <w:r w:rsidR="00F420E2" w:rsidRPr="00F420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F420E2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</w:t>
      </w:r>
      <w:r w:rsidR="00F420E2">
        <w:rPr>
          <w:rFonts w:ascii="Times New Roman" w:hAnsi="Times New Roman" w:cs="Times New Roman"/>
          <w:sz w:val="28"/>
          <w:szCs w:val="28"/>
        </w:rPr>
        <w:t>Светлодольск</w:t>
      </w:r>
      <w:r w:rsidR="00F420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  <w:proofErr w:type="gramEnd"/>
    </w:p>
    <w:p w:rsidR="00F420E2" w:rsidRDefault="00F420E2" w:rsidP="00F4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7219D6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A72A86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2B77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72A86" w:rsidRPr="00A72A86">
        <w:rPr>
          <w:rFonts w:ascii="Times New Roman" w:hAnsi="Times New Roman" w:cs="Times New Roman"/>
          <w:sz w:val="28"/>
          <w:szCs w:val="28"/>
        </w:rPr>
        <w:t xml:space="preserve">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A72A86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2B7706" w:rsidRDefault="002B7706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7219D6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7706" w:rsidRDefault="002B7706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 xml:space="preserve"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Возможно ограждение участка жилой застройки, если оно не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по соглашению уполномоченного органа с уполномоченным лицом о благоустройстве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Собственникам помещений необходимо обеспечивать подъезды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7706" w:rsidRDefault="002B770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347C6E" w:rsidRPr="0087342F" w:rsidRDefault="00347C6E" w:rsidP="00347C6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</w:t>
      </w:r>
      <w:r>
        <w:rPr>
          <w:rFonts w:ascii="Times New Roman" w:hAnsi="Times New Roman" w:cs="Times New Roman"/>
          <w:sz w:val="28"/>
          <w:szCs w:val="28"/>
        </w:rPr>
        <w:t xml:space="preserve">ных насаждений осуществляется  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347C6E" w:rsidRPr="0087342F" w:rsidRDefault="00347C6E" w:rsidP="00347C6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347C6E" w:rsidRPr="0087342F" w:rsidRDefault="00347C6E" w:rsidP="00347C6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48F501AF" wp14:editId="7A4E634C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6E" w:rsidRDefault="00347C6E" w:rsidP="00347C6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C445AD0" wp14:editId="555CAF4F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347C6E" w:rsidRPr="0087342F" w:rsidRDefault="00347C6E" w:rsidP="00347C6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347C6E" w:rsidRDefault="00347C6E" w:rsidP="00347C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FC4442" w:rsidRDefault="00347C6E" w:rsidP="00347C6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47C6E" w:rsidRPr="0087342F" w:rsidRDefault="00347C6E" w:rsidP="00347C6E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47C6E" w:rsidRDefault="00347C6E" w:rsidP="00347C6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347C6E" w:rsidRDefault="00347C6E" w:rsidP="00347C6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заявлению прилагает следующие документы:</w:t>
      </w:r>
    </w:p>
    <w:p w:rsidR="00347C6E" w:rsidRPr="002603BB" w:rsidRDefault="00347C6E" w:rsidP="00347C6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347C6E" w:rsidRPr="002603BB" w:rsidRDefault="00347C6E" w:rsidP="00347C6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347C6E" w:rsidRPr="002603BB" w:rsidRDefault="00347C6E" w:rsidP="00347C6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347C6E" w:rsidRPr="002603BB" w:rsidRDefault="00347C6E" w:rsidP="00347C6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347C6E" w:rsidRPr="002603BB" w:rsidRDefault="00347C6E" w:rsidP="00347C6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347C6E" w:rsidRPr="002603BB" w:rsidRDefault="00347C6E" w:rsidP="00347C6E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347C6E" w:rsidRPr="00033339" w:rsidRDefault="00347C6E" w:rsidP="00347C6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347C6E" w:rsidRPr="0097667B" w:rsidRDefault="00347C6E" w:rsidP="00347C6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C6E" w:rsidRPr="00242AE9" w:rsidRDefault="00347C6E" w:rsidP="00347C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347C6E" w:rsidRPr="00242AE9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347C6E" w:rsidRPr="009F5009" w:rsidRDefault="00347C6E" w:rsidP="00347C6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7C6E" w:rsidRDefault="00347C6E" w:rsidP="00347C6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347C6E" w:rsidRDefault="00347C6E" w:rsidP="00347C6E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347C6E" w:rsidRPr="003164DF" w:rsidRDefault="00347C6E" w:rsidP="00347C6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47C6E" w:rsidRPr="003164DF" w:rsidRDefault="00347C6E" w:rsidP="00347C6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47C6E" w:rsidRDefault="00347C6E" w:rsidP="00347C6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C6E" w:rsidRPr="003164DF" w:rsidRDefault="00347C6E" w:rsidP="00347C6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47C6E" w:rsidRPr="004B2407" w:rsidRDefault="00347C6E" w:rsidP="00347C6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C6E" w:rsidRPr="004B2407" w:rsidRDefault="00347C6E" w:rsidP="00347C6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47C6E" w:rsidRPr="003164DF" w:rsidRDefault="00347C6E" w:rsidP="00347C6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347C6E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347C6E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347C6E" w:rsidP="00347C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B12BB0">
        <w:rPr>
          <w:rFonts w:ascii="Times New Roman" w:hAnsi="Times New Roman" w:cs="Times New Roman"/>
          <w:sz w:val="24"/>
          <w:szCs w:val="24"/>
        </w:rPr>
        <w:t xml:space="preserve"> Светлодольск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5028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C8017B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5028C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8017B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D5028C">
        <w:rPr>
          <w:rFonts w:ascii="Times New Roman" w:hAnsi="Times New Roman" w:cs="Times New Roman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BB4439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="00BB4439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C04801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BB4439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</w:t>
      </w:r>
      <w:proofErr w:type="gramEnd"/>
    </w:p>
    <w:p w:rsidR="00102CA1" w:rsidRPr="00102CA1" w:rsidRDefault="00102CA1" w:rsidP="00026D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458E6" w:rsidRPr="00102CA1" w:rsidRDefault="001458E6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E7289" w:rsidRDefault="001E7289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21928"/>
    <w:rsid w:val="00026D3F"/>
    <w:rsid w:val="00036B5D"/>
    <w:rsid w:val="00047189"/>
    <w:rsid w:val="00050DDC"/>
    <w:rsid w:val="0005162E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C6203"/>
    <w:rsid w:val="000E0E5E"/>
    <w:rsid w:val="000F1401"/>
    <w:rsid w:val="000F4009"/>
    <w:rsid w:val="00102CA1"/>
    <w:rsid w:val="00107090"/>
    <w:rsid w:val="00110C6F"/>
    <w:rsid w:val="00113250"/>
    <w:rsid w:val="00121F02"/>
    <w:rsid w:val="001234F6"/>
    <w:rsid w:val="00130080"/>
    <w:rsid w:val="001353D8"/>
    <w:rsid w:val="00144DA5"/>
    <w:rsid w:val="001458E6"/>
    <w:rsid w:val="00151A23"/>
    <w:rsid w:val="00151C19"/>
    <w:rsid w:val="00156159"/>
    <w:rsid w:val="00170F00"/>
    <w:rsid w:val="0017221A"/>
    <w:rsid w:val="0017348B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0BF7"/>
    <w:rsid w:val="001C67E0"/>
    <w:rsid w:val="001D4775"/>
    <w:rsid w:val="001E4300"/>
    <w:rsid w:val="001E7289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706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47C6E"/>
    <w:rsid w:val="00350F3B"/>
    <w:rsid w:val="00351762"/>
    <w:rsid w:val="00354D62"/>
    <w:rsid w:val="00356E0D"/>
    <w:rsid w:val="00360231"/>
    <w:rsid w:val="003653F6"/>
    <w:rsid w:val="00376E4B"/>
    <w:rsid w:val="00384991"/>
    <w:rsid w:val="00384D73"/>
    <w:rsid w:val="003860C9"/>
    <w:rsid w:val="00395471"/>
    <w:rsid w:val="00397DEC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94782"/>
    <w:rsid w:val="006B68A1"/>
    <w:rsid w:val="006C00F2"/>
    <w:rsid w:val="006D566F"/>
    <w:rsid w:val="006E0BB0"/>
    <w:rsid w:val="006E4265"/>
    <w:rsid w:val="006E7E56"/>
    <w:rsid w:val="006F3348"/>
    <w:rsid w:val="007219D6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54BC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D0D39"/>
    <w:rsid w:val="008E5071"/>
    <w:rsid w:val="008F7EC0"/>
    <w:rsid w:val="00907655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72A86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2BB0"/>
    <w:rsid w:val="00B1559E"/>
    <w:rsid w:val="00B314D8"/>
    <w:rsid w:val="00B3692C"/>
    <w:rsid w:val="00B37030"/>
    <w:rsid w:val="00B5484D"/>
    <w:rsid w:val="00B6459B"/>
    <w:rsid w:val="00B82BFA"/>
    <w:rsid w:val="00B86F5E"/>
    <w:rsid w:val="00BB4439"/>
    <w:rsid w:val="00BB7E7F"/>
    <w:rsid w:val="00BD128D"/>
    <w:rsid w:val="00BD561D"/>
    <w:rsid w:val="00BE5568"/>
    <w:rsid w:val="00BF229C"/>
    <w:rsid w:val="00BF43DA"/>
    <w:rsid w:val="00C0275A"/>
    <w:rsid w:val="00C04801"/>
    <w:rsid w:val="00C0524D"/>
    <w:rsid w:val="00C1066A"/>
    <w:rsid w:val="00C174C3"/>
    <w:rsid w:val="00C178F0"/>
    <w:rsid w:val="00C22D5C"/>
    <w:rsid w:val="00C31E94"/>
    <w:rsid w:val="00C642E6"/>
    <w:rsid w:val="00C772E9"/>
    <w:rsid w:val="00C8017B"/>
    <w:rsid w:val="00C81AC9"/>
    <w:rsid w:val="00CC6261"/>
    <w:rsid w:val="00CD1168"/>
    <w:rsid w:val="00CD547A"/>
    <w:rsid w:val="00CE6BC9"/>
    <w:rsid w:val="00CF1EF2"/>
    <w:rsid w:val="00CF4596"/>
    <w:rsid w:val="00D0554E"/>
    <w:rsid w:val="00D36232"/>
    <w:rsid w:val="00D5028C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07F2"/>
    <w:rsid w:val="00DF66D7"/>
    <w:rsid w:val="00E15246"/>
    <w:rsid w:val="00E32888"/>
    <w:rsid w:val="00E34712"/>
    <w:rsid w:val="00E502C3"/>
    <w:rsid w:val="00E52DFC"/>
    <w:rsid w:val="00E60F78"/>
    <w:rsid w:val="00E848F1"/>
    <w:rsid w:val="00E90E03"/>
    <w:rsid w:val="00EC223B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20E2"/>
    <w:rsid w:val="00F4572E"/>
    <w:rsid w:val="00F54706"/>
    <w:rsid w:val="00F57029"/>
    <w:rsid w:val="00F63351"/>
    <w:rsid w:val="00F66A23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6DB5-B413-4CA5-9766-837516E8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52</Pages>
  <Words>20936</Words>
  <Characters>119340</Characters>
  <Application>Microsoft Office Word</Application>
  <DocSecurity>0</DocSecurity>
  <Lines>994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2022-03-04T10:34:00Z</dcterms:created>
  <dcterms:modified xsi:type="dcterms:W3CDTF">2023-12-12T05:04:00Z</dcterms:modified>
</cp:coreProperties>
</file>